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071" w:rsidRDefault="00F46071" w:rsidP="00F46071">
      <w:pPr>
        <w:pStyle w:val="ConsPlusNormal"/>
        <w:jc w:val="right"/>
        <w:outlineLvl w:val="0"/>
      </w:pPr>
      <w:r>
        <w:t>Приложение 18</w:t>
      </w:r>
    </w:p>
    <w:p w:rsidR="00F46071" w:rsidRDefault="00F46071" w:rsidP="00F46071">
      <w:pPr>
        <w:pStyle w:val="ConsPlusNormal"/>
        <w:jc w:val="right"/>
      </w:pPr>
      <w:r>
        <w:t>к закону Белгородской области</w:t>
      </w:r>
    </w:p>
    <w:p w:rsidR="00F46071" w:rsidRDefault="00F46071" w:rsidP="00F46071">
      <w:pPr>
        <w:pStyle w:val="ConsPlusNormal"/>
        <w:jc w:val="right"/>
      </w:pPr>
      <w:r>
        <w:t>"Об областном бюджете на 2020 год</w:t>
      </w:r>
    </w:p>
    <w:p w:rsidR="00F46071" w:rsidRDefault="00F46071" w:rsidP="00F46071">
      <w:pPr>
        <w:pStyle w:val="ConsPlusNormal"/>
        <w:jc w:val="right"/>
      </w:pPr>
      <w:r>
        <w:t>и на плановый период 2021 и 2022 годов"</w:t>
      </w:r>
    </w:p>
    <w:p w:rsidR="00F46071" w:rsidRDefault="00F46071" w:rsidP="00F46071">
      <w:pPr>
        <w:pStyle w:val="ConsPlusNormal"/>
        <w:jc w:val="center"/>
      </w:pPr>
    </w:p>
    <w:p w:rsidR="00F46071" w:rsidRDefault="00F46071" w:rsidP="00F46071">
      <w:pPr>
        <w:pStyle w:val="ConsPlusTitle"/>
        <w:jc w:val="center"/>
      </w:pPr>
      <w:bookmarkStart w:id="0" w:name="P111579"/>
      <w:bookmarkEnd w:id="0"/>
      <w:r>
        <w:t>БЮДЖЕТ ДОРОЖНОГО ФОНДА БЕЛГОРОДСКОЙ ОБЛАСТИ</w:t>
      </w:r>
    </w:p>
    <w:p w:rsidR="00F46071" w:rsidRDefault="00F46071" w:rsidP="00F46071">
      <w:pPr>
        <w:pStyle w:val="ConsPlusTitle"/>
        <w:jc w:val="center"/>
      </w:pPr>
      <w:r>
        <w:t>НА 2020 ГОД И НА ПЛАНОВЫЙ ПЕРИОД 2021 И 2022 ГОДОВ</w:t>
      </w:r>
    </w:p>
    <w:p w:rsidR="00F46071" w:rsidRDefault="00F46071" w:rsidP="00F4607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46071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46071" w:rsidRDefault="00F46071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46071" w:rsidRDefault="00F46071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F46071" w:rsidRDefault="00F46071" w:rsidP="00F46071">
      <w:pPr>
        <w:pStyle w:val="ConsPlusNormal"/>
        <w:jc w:val="center"/>
      </w:pPr>
    </w:p>
    <w:p w:rsidR="00F46071" w:rsidRDefault="00F46071" w:rsidP="00F46071">
      <w:pPr>
        <w:pStyle w:val="ConsPlusNormal"/>
        <w:jc w:val="right"/>
      </w:pPr>
      <w:r>
        <w:t>(тыс. рублей)</w:t>
      </w:r>
    </w:p>
    <w:p w:rsidR="00F46071" w:rsidRDefault="00F46071" w:rsidP="00F46071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4252"/>
        <w:gridCol w:w="1384"/>
        <w:gridCol w:w="1384"/>
        <w:gridCol w:w="1531"/>
      </w:tblGrid>
      <w:tr w:rsidR="00F46071" w:rsidTr="00080BBC">
        <w:tc>
          <w:tcPr>
            <w:tcW w:w="484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52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384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F46071" w:rsidTr="00080BBC">
        <w:tc>
          <w:tcPr>
            <w:tcW w:w="484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F46071" w:rsidRDefault="00F46071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center"/>
              <w:outlineLvl w:val="1"/>
            </w:pPr>
            <w:r>
              <w:t>Доходы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Акцизы на автомобильный бензин, прямогонный бензин, дизельное топливо, моторные масла для дизельных и карбюраторных (инжекторных)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4 720 853,0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5 698 090,0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7 090 220,0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Транспортный налог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1 891 395,0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1 967 051,0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2 045 733,0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Плата в счет возмещения вреда, причиняемого автомобильным дорогам общего пользования регионального и межмуниципального значения, транспортными средствами, осуществляющими перевозки тяжеловесных грузов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11 270,0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11 750,0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12 200,0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Штрафы ГИБДД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515 052,0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769 967,0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780 566,0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Итого закрепленных налоговых и неналоговых платежей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7 138 570,0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8 446 858,0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9 928 719,0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Часть общего объема доходов областного бюджета, из них: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4 595 943,9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2 962 886,0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2 171 227,0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Обеспечение дорожной деятельности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3 607 475,3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1 992 318,0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1 200 826,0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Уплата налога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850 000,0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830 000,0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830 000,0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lastRenderedPageBreak/>
              <w:t>5.3.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138 468,6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140 568,0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140 401,0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</w:pPr>
            <w:r>
              <w:t>Итого доходов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11 734 513,9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11 409 744,0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12 099 946,0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Субсидии на реализацию мероприятий по развитию транспортной инфраструктуры на сельских территориях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112 816,7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72 171,3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75 194,4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Субсидии на реализацию мероприятий по стимулированию программ развития жилищного строительства субъекта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1 021 594,5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Субсидии на реализацию мероприятий по стимулированию программ развития жилищного строительства субъекта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377 409,5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1 527 000,0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1 037 000,0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2 773 000,0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</w:pPr>
            <w:r>
              <w:t>Межбюджетные трансферты на финансовое обеспечение дорожной деятельности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210 000,0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Межбюджетные трансферты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</w:pPr>
            <w:r>
              <w:t>Всего доходов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17 836 334,6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12 598 915,3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12 255 140,4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center"/>
              <w:outlineLvl w:val="1"/>
            </w:pPr>
            <w:r>
              <w:t>Расходы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Содержание и ремонт автомобильных дорог общего пользования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5 424 168,0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7 103 823,0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6 493 388,0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Капитальный ремонт автомобильных дорог общего пользования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386 819,0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503 000,0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503 000,0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36 090,0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70 512,0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1 725 000,0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529 002,8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806 158,0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555 000,0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102 611,0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14 381,0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23 746,0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271 563,1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15 725,4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проекта "Дорожная сеть" в рамках национального проекта "Безопасные и качественные автомобильные дороги" (в части ремонта автомобильных дорог)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855 056,0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981 529,0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1 807 180,0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проекта "Дорожная сеть" в рамках национального проекта "Безопасные и качественные автомобильные дороги" (в части содержания автомобильных дорог)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8 999,0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19 226,0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22 231,0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20 880,0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54 864,0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2 786 438,0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879 060,0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 xml:space="preserve">Субсидии на капитальный ремонт и ремонт дворовых территорий многоквартирных домов, проездов к дворовым территориям </w:t>
            </w:r>
            <w:r>
              <w:lastRenderedPageBreak/>
              <w:t>многоквартирных домов населенных пунктов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lastRenderedPageBreak/>
              <w:t>230 496,0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Финансовое обеспечение дорожной деятельности (в части ремонта искусственных дорожных сооружений)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23 333,0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61 487,0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Итого расходов на дорожную деятельность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10 746 045,3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10 439 176,0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11 129 545,0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Налог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850 000,0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830 000,0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830 000,0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138 468,6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140 568,0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140 401,0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112 816,7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72 171,3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75 194,4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1 021 594,5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проекта "Дорожная сеть" в рамках национального проекта "Безопасные и качественные автомобильные дороги"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1 527 000,0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1 037 000,0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Реализация мероприятий по финансовому обеспечению дорожной деятельности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210 000,0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80 000,0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80 000,0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80 000,0</w:t>
            </w: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2 773 000,0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377 409,5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</w:p>
        </w:tc>
      </w:tr>
      <w:tr w:rsidR="00F46071" w:rsidTr="00080BBC">
        <w:tc>
          <w:tcPr>
            <w:tcW w:w="484" w:type="dxa"/>
            <w:vAlign w:val="center"/>
          </w:tcPr>
          <w:p w:rsidR="00F46071" w:rsidRDefault="00F46071" w:rsidP="00080BBC">
            <w:pPr>
              <w:pStyle w:val="ConsPlusNormal"/>
              <w:jc w:val="center"/>
            </w:pPr>
          </w:p>
        </w:tc>
        <w:tc>
          <w:tcPr>
            <w:tcW w:w="4252" w:type="dxa"/>
            <w:vAlign w:val="center"/>
          </w:tcPr>
          <w:p w:rsidR="00F46071" w:rsidRDefault="00F46071" w:rsidP="00080BBC">
            <w:pPr>
              <w:pStyle w:val="ConsPlusNormal"/>
            </w:pPr>
            <w:r>
              <w:t>Всего расходов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17 836 334,6</w:t>
            </w:r>
          </w:p>
        </w:tc>
        <w:tc>
          <w:tcPr>
            <w:tcW w:w="1384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12 598 915,3</w:t>
            </w:r>
          </w:p>
        </w:tc>
        <w:tc>
          <w:tcPr>
            <w:tcW w:w="1531" w:type="dxa"/>
            <w:vAlign w:val="center"/>
          </w:tcPr>
          <w:p w:rsidR="00F46071" w:rsidRDefault="00F46071" w:rsidP="00080BBC">
            <w:pPr>
              <w:pStyle w:val="ConsPlusNormal"/>
              <w:jc w:val="right"/>
            </w:pPr>
            <w:r>
              <w:t>12 255 140,4</w:t>
            </w:r>
          </w:p>
        </w:tc>
      </w:tr>
    </w:tbl>
    <w:p w:rsidR="00F46071" w:rsidRDefault="00F46071" w:rsidP="00F46071">
      <w:pPr>
        <w:pStyle w:val="ConsPlusNormal"/>
        <w:jc w:val="center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71"/>
    <w:rsid w:val="006119AC"/>
    <w:rsid w:val="00F4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9DAE6-7E16-4108-A429-065E7D8D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60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60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16F824C906BC2A3F9C04861B50FD9F152D87F1EC033E6D48F115EA21345EBE215516B9EE4A02160634BE987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2020-12-26T08:37:00Z</dcterms:created>
  <dcterms:modified xsi:type="dcterms:W3CDTF">2020-12-26T08:37:00Z</dcterms:modified>
</cp:coreProperties>
</file>