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AA7" w:rsidRDefault="00CC6AA7" w:rsidP="00CC6AA7">
      <w:pPr>
        <w:pStyle w:val="ConsPlusNormal"/>
        <w:jc w:val="right"/>
        <w:outlineLvl w:val="0"/>
      </w:pPr>
      <w:r>
        <w:t>Приложение 16</w:t>
      </w:r>
    </w:p>
    <w:p w:rsidR="00CC6AA7" w:rsidRDefault="00CC6AA7" w:rsidP="00CC6AA7">
      <w:pPr>
        <w:pStyle w:val="ConsPlusNormal"/>
        <w:jc w:val="right"/>
      </w:pPr>
      <w:r>
        <w:t>к закону Белгородской области</w:t>
      </w:r>
    </w:p>
    <w:p w:rsidR="00CC6AA7" w:rsidRDefault="00CC6AA7" w:rsidP="00CC6AA7">
      <w:pPr>
        <w:pStyle w:val="ConsPlusNormal"/>
        <w:jc w:val="right"/>
      </w:pPr>
      <w:r>
        <w:t>"Об областном бюджете на 2021 год</w:t>
      </w:r>
    </w:p>
    <w:p w:rsidR="00CC6AA7" w:rsidRDefault="00CC6AA7" w:rsidP="00CC6AA7">
      <w:pPr>
        <w:pStyle w:val="ConsPlusNormal"/>
        <w:jc w:val="right"/>
      </w:pPr>
      <w:r>
        <w:t>и на плановый период 2022 и 2023 годов"</w:t>
      </w:r>
    </w:p>
    <w:p w:rsidR="00CC6AA7" w:rsidRDefault="00CC6AA7" w:rsidP="00CC6AA7">
      <w:pPr>
        <w:pStyle w:val="ConsPlusNormal"/>
        <w:jc w:val="center"/>
      </w:pPr>
    </w:p>
    <w:p w:rsidR="00CC6AA7" w:rsidRDefault="00CC6AA7" w:rsidP="00CC6AA7">
      <w:pPr>
        <w:pStyle w:val="ConsPlusTitle"/>
        <w:jc w:val="center"/>
      </w:pPr>
      <w:bookmarkStart w:id="0" w:name="Par115789"/>
      <w:bookmarkEnd w:id="0"/>
      <w:r>
        <w:t>БЮДЖЕТ ЗДРАВООХРАНЕНИЯ НА 2021 ГОД</w:t>
      </w:r>
    </w:p>
    <w:p w:rsidR="00CC6AA7" w:rsidRDefault="00CC6AA7" w:rsidP="00CC6AA7">
      <w:pPr>
        <w:pStyle w:val="ConsPlusTitle"/>
        <w:jc w:val="center"/>
      </w:pPr>
      <w:r>
        <w:t>И НА ПЛАНОВЫЙ ПЕРИОД 2022 И 2023 ГОДОВ</w:t>
      </w:r>
    </w:p>
    <w:p w:rsidR="00CC6AA7" w:rsidRDefault="00CC6AA7" w:rsidP="00CC6AA7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CC6AA7" w:rsidTr="00265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C6AA7" w:rsidRDefault="00CC6AA7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CC6AA7" w:rsidRDefault="00CC6AA7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19.11.2021 N 120)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AA7" w:rsidRDefault="00CC6AA7" w:rsidP="002656D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CC6AA7" w:rsidRDefault="00CC6AA7" w:rsidP="00CC6AA7">
      <w:pPr>
        <w:pStyle w:val="ConsPlusNormal"/>
      </w:pPr>
    </w:p>
    <w:p w:rsidR="00CC6AA7" w:rsidRDefault="00CC6AA7" w:rsidP="00CC6AA7">
      <w:pPr>
        <w:pStyle w:val="ConsPlusNormal"/>
        <w:jc w:val="right"/>
      </w:pPr>
      <w:r>
        <w:t>(тыс. рублей)</w:t>
      </w:r>
    </w:p>
    <w:p w:rsidR="00CC6AA7" w:rsidRDefault="00CC6AA7" w:rsidP="00CC6AA7">
      <w:pPr>
        <w:pStyle w:val="ConsPlusNormal"/>
        <w:sectPr w:rsidR="00CC6AA7">
          <w:headerReference w:type="default" r:id="rId5"/>
          <w:footerReference w:type="default" r:id="rId6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94"/>
        <w:gridCol w:w="1384"/>
        <w:gridCol w:w="1384"/>
        <w:gridCol w:w="1084"/>
        <w:gridCol w:w="1474"/>
        <w:gridCol w:w="1384"/>
        <w:gridCol w:w="1384"/>
        <w:gridCol w:w="1084"/>
        <w:gridCol w:w="1474"/>
        <w:gridCol w:w="1384"/>
        <w:gridCol w:w="1384"/>
        <w:gridCol w:w="1084"/>
        <w:gridCol w:w="1474"/>
      </w:tblGrid>
      <w:tr w:rsidR="00CC6AA7" w:rsidTr="002656DB">
        <w:tc>
          <w:tcPr>
            <w:tcW w:w="192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  <w:outlineLvl w:val="1"/>
            </w:pPr>
            <w:r>
              <w:lastRenderedPageBreak/>
              <w:t>ДОХОДЫ</w:t>
            </w:r>
          </w:p>
        </w:tc>
      </w:tr>
      <w:tr w:rsidR="00CC6AA7" w:rsidTr="002656D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Виды доходов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CC6AA7" w:rsidTr="002656D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федеральный бюджет, ФФОМС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14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Средства областного бюджета на обеспечение выполнения функций казенных учреждений в сфере здравоохранения и 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11 847 604,0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11 847 604,0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10 799 047,7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10 799 047,7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9 075 469,2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9 075 469,2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Средства областного бюджета на модернизацию здравоохранения Белгородской области в части укрепления материально-технической </w:t>
            </w:r>
            <w:r>
              <w:lastRenderedPageBreak/>
              <w:t>базы медицинских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4 625 159,7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4 325 964,1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299 195,6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4 151 404,4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3 631 526,7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519 877,7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1 048 648,4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857 819,0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190 829,4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1 304,6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1 304,6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1 310,3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1 310,3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1 304,7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1 304,7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20 930,9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20 930,9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Иные штрафы, неустойки, пени, уплаченные в соответствии с законом или договором в случае неисполнения или </w:t>
            </w:r>
            <w:r>
              <w:lastRenderedPageBreak/>
              <w:t>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2 174,3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2 174,3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2 397,9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2 397,9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Платежи по искам, предъявленным территориальным фондом обязательного медицинского страхования к лицам, ответственным за причинение вреда здоровью застрахованного лица, в целях возмещения расходов на оказание </w:t>
            </w:r>
            <w:r>
              <w:lastRenderedPageBreak/>
              <w:t>медицинской помощи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785,5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785,5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1 218,6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1 218,6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332 666,8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332 666,8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Субвенции бюджетам территориальных фондов обязательного медицинского страхования на </w:t>
            </w:r>
            <w:r>
              <w:lastRenderedPageBreak/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20 108 556,8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13 675 665,9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21 058 895,4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14 367 830,0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22 247 087,8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6 960 018,6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15 287 069,2</w:t>
            </w:r>
          </w:p>
        </w:tc>
      </w:tr>
      <w:tr w:rsidR="00CC6AA7" w:rsidTr="002656D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из них: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6 960 018,6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6 960 018,6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Межбюджетные трансферты,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</w:t>
            </w:r>
            <w:r>
              <w:lastRenderedPageBreak/>
              <w:t>территориального фонда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18 784,4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18 784,4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5 164,2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5 164,2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Доходы бюджета территориального фонда обязательного медицинского страхования от возврата остатков межбюджетных трансфертов прошлых </w:t>
            </w:r>
            <w:r>
              <w:lastRenderedPageBreak/>
              <w:t>лет на осуществление единовременных выплат медицинским работникам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1 056,3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1 056,3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107 671,1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107 671,1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100 812,3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100 812,3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100 812,3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100 812,3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Субсидии бюджетам субъектов Российской </w:t>
            </w:r>
            <w:r>
              <w:lastRenderedPageBreak/>
              <w:t>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11 074,4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11 074,4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10 530,9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10 530,9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10 435,6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10 435,6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694,2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</w:t>
            </w:r>
            <w:r>
              <w:lastRenderedPageBreak/>
              <w:t>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52 140,0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52 140,0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50 160,0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</w:t>
            </w:r>
            <w:r>
              <w:lastRenderedPageBreak/>
              <w:t>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1 704,5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1 704,5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1 705,1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7 505,0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7 505,0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6 840,0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6 840,0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143 374,1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оснащение оборудованием </w:t>
            </w:r>
            <w:r>
              <w:lastRenderedPageBreak/>
              <w:t>региональных сосудистых центров и первичных сосудистых отделений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102 548,5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102 548,5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165 137,6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165 137,6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89 687,3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89 687,3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166 641,7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166 641,7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199 375,0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199 375,0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51 842,2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51 842,2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</w:t>
            </w:r>
            <w:r>
              <w:lastRenderedPageBreak/>
              <w:t>обслуживания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395,2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395,4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39 616,8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39 616,8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38 980,0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38 980,0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34 022,0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34 022,0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131 369,2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46 139,2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46 139,2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43 774,1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43 774,1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43 774,1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43 774,1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</w:t>
            </w:r>
            <w:r>
              <w:lastRenderedPageBreak/>
              <w:t xml:space="preserve">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</w:t>
            </w:r>
            <w:r>
              <w:lastRenderedPageBreak/>
              <w:t>(Стюарта-Прауэра), а также после трансплантации органов и (или) тканей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2 856,1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122 907,4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122 907,4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13 077,0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13 077,0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9 114,3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9 114,3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</w:t>
            </w:r>
            <w:r>
              <w:lastRenderedPageBreak/>
              <w:t>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405 557,1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405 557,1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388 136,8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-6 781,2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-6 781,2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Возврат остатков межбюджетных трансфертов прошлых лет на осуществление единовременных выплат </w:t>
            </w:r>
            <w:r>
              <w:lastRenderedPageBreak/>
              <w:t>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-1 056,3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-1 056,3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-40 793,6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-40 793,6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Возврат остатков </w:t>
            </w:r>
            <w:r>
              <w:lastRenderedPageBreak/>
              <w:t>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-5 062,8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-5 062,8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Возврат остатков прочих субсидий, субвенций и иных межбюджетных трансфертов, имеющих целевое назначение, прошлых лет из бюджетов территориальных фондов </w:t>
            </w:r>
            <w:r>
              <w:lastRenderedPageBreak/>
              <w:t>обязательного медицинского страхования в бюджеты субъектов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-0,8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-0,8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коронавирусной инфекцией в рамках реализации территориальной программы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246 968,6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246 968,6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lastRenderedPageBreak/>
              <w:t>37.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Субсидии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585 394,3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585 394,3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389 258,7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389 258,7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718 307,0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718 307,0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Иные межбюджетные трансферты на финансовое обеспечение мероприятий по приобретению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180 062,1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180 062,1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Межбюджетные трансферты бюджетам </w:t>
            </w:r>
            <w:r>
              <w:lastRenderedPageBreak/>
              <w:t>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239 870,9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239 870,9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Субсидии на реализацию мероприятий по обеспечению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487 968,7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487 968,7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Субсидии в целях софинансирования </w:t>
            </w:r>
            <w:r>
              <w:lastRenderedPageBreak/>
              <w:t>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77 626,9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77 626,9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Иные межбюджетные трансферты в целях софинансирования расходных обязательств субъектов Российской Федерации по финансовому обеспечению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</w:t>
            </w:r>
            <w:r>
              <w:lastRenderedPageBreak/>
              <w:t>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75 380,7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75 380,7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Иные межбюджетные трансферты в целях финансового обеспечения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</w:t>
            </w:r>
            <w:r>
              <w:lastRenderedPageBreak/>
              <w:t>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29 668,8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29 668,8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Иные межбюджетные трансферты в целях финансового обеспечения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</w:t>
            </w:r>
            <w:r>
              <w:lastRenderedPageBreak/>
              <w:t>дополнительное финансовое обеспечение оказания медицинской помощи, в том числе лицам с заболеванием и (или) подозрением на заболевание новой коронавирусной инфекцией (COVID-19), в рамках реализации территориальной программы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961 935,1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961 935,1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Иные межбюджетные трансферты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работникам, участвующим в проведении вакцинации взрослого населения </w:t>
            </w:r>
            <w:r>
              <w:lastRenderedPageBreak/>
              <w:t>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52 973,5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52 973,5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ВСЕГО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41 194 257,3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23 094 427,7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356 556,7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17 743 272,9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38 045 436,4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21 121 639,8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16 575 494,5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34 517 002,9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16 893 306,8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17 255 889,0</w:t>
            </w:r>
          </w:p>
        </w:tc>
      </w:tr>
    </w:tbl>
    <w:p w:rsidR="00CC6AA7" w:rsidRDefault="00CC6AA7" w:rsidP="00CC6AA7">
      <w:pPr>
        <w:pStyle w:val="ConsPlusNormal"/>
        <w:jc w:val="both"/>
      </w:pPr>
    </w:p>
    <w:p w:rsidR="00CC6AA7" w:rsidRDefault="00CC6AA7" w:rsidP="00CC6AA7">
      <w:pPr>
        <w:pStyle w:val="ConsPlusNormal"/>
        <w:jc w:val="right"/>
      </w:pPr>
      <w:r>
        <w:t>(тыс. рублей)</w:t>
      </w:r>
    </w:p>
    <w:p w:rsidR="00CC6AA7" w:rsidRDefault="00CC6AA7" w:rsidP="00CC6AA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94"/>
        <w:gridCol w:w="1384"/>
        <w:gridCol w:w="1384"/>
        <w:gridCol w:w="1084"/>
        <w:gridCol w:w="1474"/>
        <w:gridCol w:w="1384"/>
        <w:gridCol w:w="1384"/>
        <w:gridCol w:w="1084"/>
        <w:gridCol w:w="1474"/>
        <w:gridCol w:w="1384"/>
        <w:gridCol w:w="1384"/>
        <w:gridCol w:w="1084"/>
        <w:gridCol w:w="1474"/>
      </w:tblGrid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</w:p>
        </w:tc>
        <w:tc>
          <w:tcPr>
            <w:tcW w:w="187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  <w:outlineLvl w:val="1"/>
            </w:pPr>
            <w:r>
              <w:t>РАСХОДЫ</w:t>
            </w:r>
          </w:p>
        </w:tc>
      </w:tr>
      <w:tr w:rsidR="00CC6AA7" w:rsidTr="002656D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Виды расходов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CC6AA7" w:rsidTr="002656D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федеральный бюджет, ФФОМС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14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Средства областного бюджета на обеспечение выполнения функций казенных учреждений в сфере здравоохранения и </w:t>
            </w:r>
            <w:r>
              <w:lastRenderedPageBreak/>
              <w:t>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11 767 138,7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11 767 138,7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10 725 974,7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10 725 974,7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8 999 787,2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8 999 787,2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Средства областного бюджета на модернизацию здравоохранения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4 625 159,7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4 325 964,1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299 195,6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4 151 404,4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3 631 526,7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519 877,7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1 048 648,4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857 819,0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190 829,4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</w:t>
            </w:r>
            <w:r>
              <w:lastRenderedPageBreak/>
              <w:t>Федерации" полномочий Российской Федерации в сфере охраны здоровья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1 304,6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1 304,6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1 310,3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1 310,3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1 304,7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1 304,7</w:t>
            </w:r>
          </w:p>
        </w:tc>
      </w:tr>
      <w:tr w:rsidR="00CC6AA7" w:rsidTr="002656D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19 474 977,8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13 042 086,9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20 683 041,0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13 991 975,6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21 856 755,7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6 960 018,6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14 896 737,1</w:t>
            </w:r>
          </w:p>
        </w:tc>
      </w:tr>
      <w:tr w:rsidR="00CC6AA7" w:rsidTr="002656D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из них: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6 960 018,6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6 960 018,6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Обеспечение функций органов власти Белгородской области, в том числе </w:t>
            </w:r>
            <w:r>
              <w:lastRenderedPageBreak/>
              <w:t>территориальных органов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197 786,4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80 465,3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117 321,1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190 394,1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73 073,0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117 321,1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193 003,1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75 682,0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117 321,1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Финансовое обеспечение организации обязательного медицинского страхования по непрограммным направлениям деятельности органов управления государственных внебюджетных фондов (в части межтерриториальных расчетов)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855 767,1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332 666,8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523 100,3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606 835,4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258 533,3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640 818,1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273 011,0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107 671,1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107 671,1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100 812,3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100 812,3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100 812,3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100 812,3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Реализация мероприятий по предупреждению и борьбе с социально значимыми </w:t>
            </w:r>
            <w:r>
              <w:lastRenderedPageBreak/>
              <w:t>инфекционными заболеваниями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11 074,4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11 074,4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10 530,9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10 530,9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10 435,6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10 435,6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694,2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52 140,0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52 140,0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50 160,0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Компенсация расходов, связанных с оказанием </w:t>
            </w:r>
            <w:r>
              <w:lastRenderedPageBreak/>
              <w:t>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1 704,5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1 704,5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1 705,1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Реализация мероприятий в сфере реабилитации и абилитации 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7 505,0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7 505,0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6 840,0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6 840,0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143 374,1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Оснащение оборудованием </w:t>
            </w:r>
            <w:r>
              <w:lastRenderedPageBreak/>
              <w:t>региональных сосудистых центров и первичных сосудистых отделений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102 548,5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102 548,5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165 137,6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165 137,6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89 687,3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89 687,3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166 641,7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166 641,7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199 375,0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199 375,0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51 842,2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51 842,2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395,4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Обеспечение закупки авиационных работ в целях оказания медицинской помощи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39 616,8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39 616,8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38 980,0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38 980,0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34 022,0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34 022,0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Обеспечение профилактики развития сердечно-сосудистых заболеваний и сердечно-</w:t>
            </w:r>
            <w:r>
              <w:lastRenderedPageBreak/>
              <w:t>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131 369,2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131 369,2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Развитие паллиативной медицинской помощи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46 139,2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46 139,2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43 774,1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43 774,1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43 774,1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43 774,1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</w:t>
            </w:r>
            <w:r>
              <w:lastRenderedPageBreak/>
              <w:t>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2 856,1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122 907,4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122 907,4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13 077,0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13 077,0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9 114,3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9 114,3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Оказание отдельным категориям граждан социальной услуги по обеспечению лекарственными препаратами для медицинского </w:t>
            </w:r>
            <w:r>
              <w:lastRenderedPageBreak/>
              <w:t>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405 557,1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405 557,1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388 136,8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585 394,3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585 394,3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389 258,7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389 258,7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718 307,0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718 307,0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Иные межбюджетные трансферты на финансовое обеспечение мероприятий по приобретению лекарственных препаратов для лечения пациентов с новой коронавирусной </w:t>
            </w:r>
            <w:r>
              <w:lastRenderedPageBreak/>
              <w:t>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180 062,1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180 062,1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239 870,9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239 870,9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Повышение квалификации и профессиональная подготовка и переподготовка кадров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1 222,6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1 222,6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1 011,7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1 011,7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Закупка оборудования (включая медицинское), с учетом финансового обеспечения национальных проектов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20 777,6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20 777,6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Финансовое обеспечение расходов медицинских организаций на оплату труда врачей и среднего персонала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18 784,4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18 784,4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</w:t>
            </w:r>
            <w:r>
              <w:lastRenderedPageBreak/>
              <w:t>подозрением на заболевание новой коронавирусной инфекцией в рамках реализации территориальной программы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246 968,6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246 968,6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Финансовое обеспечение расходов медицинских организаций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5 164,2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5 164,2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Субсидии на реализацию мероприятий по обеспечению жильем медицинских работников государственных учреждений </w:t>
            </w:r>
            <w:r>
              <w:lastRenderedPageBreak/>
              <w:t>здравоохранения Белгородской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487 968,7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487 968,7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Финансовое обеспечение расходов,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77 626,9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77 626,9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</w:t>
            </w:r>
            <w:r>
              <w:lastRenderedPageBreak/>
              <w:t>дополнительную нагрузку, в том числе на компенсацию ранее произведенных субъектами Российской Федерации расходов на указанные цели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75 380,7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75 380,7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Финансовое обеспечение проведения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29 668,8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29 668,8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Финансовое обеспечение расходных обязательств субъектов Российской Федерации и г. </w:t>
            </w:r>
            <w:r>
              <w:lastRenderedPageBreak/>
              <w:t>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помощи, в том числе лицам с заболеванием и (или) подозрением на заболевание новой коронавирусной инфекцией (COVID-19), в рамках реализации территориальной программы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961 935,1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961 935,1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Финансовое обеспечение выплат стимулирующего характера за дополнительную нагрузку медицинским работникам, участвующим в </w:t>
            </w:r>
            <w:r>
              <w:lastRenderedPageBreak/>
              <w:t>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52 973,5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52 973,5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ВСЕГО РАСХОДОВ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41 249 138,9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23 094 427,7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355 678,7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17 799 032,5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38 045 436,4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21 121 639,8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348 302,1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16 575 494,5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34 517 002,9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16 893 306,8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367 807,1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17 255 889,0</w:t>
            </w:r>
          </w:p>
        </w:tc>
      </w:tr>
    </w:tbl>
    <w:p w:rsidR="00CC6AA7" w:rsidRDefault="00CC6AA7" w:rsidP="00CC6AA7">
      <w:pPr>
        <w:pStyle w:val="ConsPlusNormal"/>
        <w:jc w:val="both"/>
      </w:pPr>
    </w:p>
    <w:p w:rsidR="00CC6AA7" w:rsidRDefault="00CC6AA7" w:rsidP="00CC6AA7">
      <w:pPr>
        <w:pStyle w:val="ConsPlusNormal"/>
        <w:jc w:val="right"/>
      </w:pPr>
      <w:r>
        <w:t>(тыс. рублей)</w:t>
      </w:r>
    </w:p>
    <w:p w:rsidR="00CC6AA7" w:rsidRDefault="00CC6AA7" w:rsidP="00CC6AA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4"/>
        <w:gridCol w:w="1384"/>
        <w:gridCol w:w="1264"/>
        <w:gridCol w:w="1084"/>
        <w:gridCol w:w="1474"/>
        <w:gridCol w:w="694"/>
        <w:gridCol w:w="1189"/>
        <w:gridCol w:w="874"/>
        <w:gridCol w:w="1474"/>
        <w:gridCol w:w="694"/>
        <w:gridCol w:w="1189"/>
        <w:gridCol w:w="874"/>
        <w:gridCol w:w="1474"/>
      </w:tblGrid>
      <w:tr w:rsidR="00CC6AA7" w:rsidTr="002656D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5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  <w:outlineLvl w:val="1"/>
            </w:pPr>
            <w:r>
              <w:t>ИСТОЧНИКИ ВНУТРЕННЕГО ФИНАНСИРОВАНИЯ ДЕФИЦИТА БЮДЖЕТА</w:t>
            </w:r>
          </w:p>
        </w:tc>
      </w:tr>
      <w:tr w:rsidR="00CC6AA7" w:rsidTr="002656D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  <w:outlineLvl w:val="1"/>
            </w:pP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Виды источников средств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Всего на 2022 год</w:t>
            </w:r>
          </w:p>
        </w:tc>
        <w:tc>
          <w:tcPr>
            <w:tcW w:w="3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Всего на 2023 год</w:t>
            </w:r>
          </w:p>
        </w:tc>
        <w:tc>
          <w:tcPr>
            <w:tcW w:w="3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CC6AA7" w:rsidTr="002656D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федеральный бюджет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center"/>
            </w:pPr>
            <w:r>
              <w:t>14</w:t>
            </w:r>
          </w:p>
        </w:tc>
      </w:tr>
      <w:tr w:rsidR="00CC6AA7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 xml:space="preserve">Источники внутреннего финансирования дефицитов </w:t>
            </w:r>
            <w:r>
              <w:lastRenderedPageBreak/>
              <w:t>бюджетов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lastRenderedPageBreak/>
              <w:t>54 881,6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-878,0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55 759,6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Увеличение остатков средств бюджетов,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21 700 733,7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356 556,7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14 911 286,1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Уменьшение остатков средств бюджетов,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  <w:tr w:rsidR="00CC6AA7" w:rsidTr="002656D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</w:pPr>
            <w: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21 755 615,3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355 678,7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  <w:r>
              <w:t>14 967 045,7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AA7" w:rsidRDefault="00CC6AA7" w:rsidP="002656DB">
            <w:pPr>
              <w:pStyle w:val="ConsPlusNormal"/>
              <w:jc w:val="right"/>
            </w:pPr>
          </w:p>
        </w:tc>
      </w:tr>
    </w:tbl>
    <w:p w:rsidR="00CC6AA7" w:rsidRDefault="00CC6AA7" w:rsidP="00CC6AA7">
      <w:pPr>
        <w:pStyle w:val="ConsPlusNormal"/>
        <w:sectPr w:rsidR="00CC6AA7">
          <w:headerReference w:type="default" r:id="rId9"/>
          <w:footerReference w:type="default" r:id="rId1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CC6AA7" w:rsidRDefault="00CC6AA7" w:rsidP="00CC6AA7">
      <w:pPr>
        <w:pStyle w:val="ConsPlusNormal"/>
        <w:jc w:val="both"/>
      </w:pPr>
    </w:p>
    <w:p w:rsidR="00CC6AA7" w:rsidRDefault="00CC6AA7" w:rsidP="00CC6AA7">
      <w:pPr>
        <w:pStyle w:val="ConsPlusNormal"/>
        <w:jc w:val="both"/>
      </w:pPr>
    </w:p>
    <w:p w:rsidR="00285845" w:rsidRDefault="00CC6AA7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8D1" w:rsidRDefault="00CC6AA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2E58D1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C6AA7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C6AA7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C6AA7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44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2E58D1" w:rsidRDefault="00CC6AA7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8D1" w:rsidRDefault="00CC6AA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2E58D1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C6AA7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t>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C6AA7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C6AA7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44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44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2E58D1" w:rsidRDefault="00CC6AA7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2E58D1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C6AA7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19.11.2021)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C6AA7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</w:t>
          </w:r>
          <w:r>
            <w:rPr>
              <w:rFonts w:ascii="Tahoma" w:hAnsi="Tahoma" w:cs="Tahoma"/>
              <w:sz w:val="18"/>
              <w:szCs w:val="18"/>
            </w:rPr>
            <w:t xml:space="preserve">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02.12.2021</w:t>
          </w:r>
        </w:p>
      </w:tc>
    </w:tr>
  </w:tbl>
  <w:p w:rsidR="002E58D1" w:rsidRDefault="00CC6AA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E58D1" w:rsidRDefault="00CC6AA7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38"/>
      <w:gridCol w:w="6420"/>
    </w:tblGrid>
    <w:tr w:rsidR="002E58D1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C6AA7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</w:t>
          </w:r>
          <w:r>
            <w:rPr>
              <w:rFonts w:ascii="Tahoma" w:hAnsi="Tahoma" w:cs="Tahoma"/>
              <w:sz w:val="16"/>
              <w:szCs w:val="16"/>
            </w:rPr>
            <w:t>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19.11.2021)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C6AA7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02.12.2021</w:t>
          </w:r>
        </w:p>
      </w:tc>
    </w:tr>
  </w:tbl>
  <w:p w:rsidR="002E58D1" w:rsidRDefault="00CC6AA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E58D1" w:rsidRDefault="00CC6AA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AA7"/>
    <w:rsid w:val="004F5D51"/>
    <w:rsid w:val="006C1573"/>
    <w:rsid w:val="00CC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6303F-7773-4545-BE75-3739409A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A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6A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C6A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C6A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CC6A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C6AA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CC6AA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CC6A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CC6A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CC6A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9836&amp;date=02.12.2021&amp;dst=100156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9836&amp;date=02.12.2021&amp;dst=100156&amp;field=13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2.xml"/><Relationship Id="rId4" Type="http://schemas.openxmlformats.org/officeDocument/2006/relationships/hyperlink" Target="https://login.consultant.ru/link/?req=doc&amp;base=RLAW404&amp;n=82871&amp;date=02.12.2021&amp;dst=102365&amp;field=134" TargetMode="Externa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4132</Words>
  <Characters>23555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2021-12-02T15:03:00Z</dcterms:created>
  <dcterms:modified xsi:type="dcterms:W3CDTF">2021-12-02T15:03:00Z</dcterms:modified>
</cp:coreProperties>
</file>